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SEMINÁRIO BNCC/MT - 15 E 16 DE JULHO DE 2016.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CONCLUSÃO DA ANÁLISE DOS OBJETIVOS, REALIZADA PELO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GT DE GEOGRAFIA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- ANOS FINAIS E MÉDIO -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O GT DE GEOGRAFIA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FOI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COMPOSTO POR SETE PROFESSORES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APÓS A LEITURA DOS OBJETIVOS DE APRENDIZAGENS  DOS ANOS FINAIS DO ENSINO FUNDAMENTAL E ENSINO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MÉDIO, 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OBSERVOU-SE   QUE: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AS ALTERAÇÕES REALIZADOS   NOS OBJETIVOS DE APRENDIZAGENS  DO ENSINO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FUNDAMENTAL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 DOS ANOS FINAIS  FORAM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NECESSÁRIAS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PARA ATENDER AS DIVERSIDADES  EXISTENTES EM NOSSO PAIS.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OS DEMAIS OBJETIVOS DE APRENDIZAGENS DO ENSINO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MÉDIO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E FUNDAMENTAL NÃO SÃO ADEQUAD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S, POR NÃO ACOMPANHAR A EVOLUÇÃO DO PENSAMENTO GEOGR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FICO.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